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C2E" w:rsidRDefault="00B47C2E" w:rsidP="00B47C2E">
      <w:pPr>
        <w:keepLines/>
        <w:jc w:val="both"/>
        <w:rPr>
          <w:rFonts w:ascii="Arial" w:hAnsi="Arial" w:cs="Arial"/>
          <w:sz w:val="22"/>
          <w:szCs w:val="22"/>
        </w:rPr>
      </w:pPr>
      <w:bookmarkStart w:id="0" w:name="_GoBack"/>
      <w:bookmarkEnd w:id="0"/>
    </w:p>
    <w:p w:rsidR="00355D0D" w:rsidRPr="008735E6" w:rsidRDefault="00355D0D" w:rsidP="00355D0D">
      <w:pPr>
        <w:keepLines/>
        <w:numPr>
          <w:ilvl w:val="0"/>
          <w:numId w:val="15"/>
        </w:numPr>
        <w:ind w:left="357" w:hanging="357"/>
        <w:jc w:val="both"/>
        <w:rPr>
          <w:rFonts w:ascii="Arial" w:hAnsi="Arial" w:cs="Arial"/>
          <w:sz w:val="22"/>
          <w:szCs w:val="22"/>
        </w:rPr>
      </w:pPr>
      <w:r w:rsidRPr="008735E6">
        <w:rPr>
          <w:rFonts w:ascii="Arial" w:hAnsi="Arial" w:cs="Arial"/>
          <w:sz w:val="22"/>
          <w:szCs w:val="22"/>
        </w:rPr>
        <w:t>The Queensland Government owns approximately 4,400 residential dwellings for use by Government employees to support the delivery of government services throughout the State.  These assets have a total capital value of approximately $850 million and are primarily located in regional and remote locations around the State with approximately 460 residences located in Indigenous communities.</w:t>
      </w:r>
    </w:p>
    <w:p w:rsidR="00355D0D" w:rsidRPr="008735E6" w:rsidRDefault="00355D0D" w:rsidP="00355D0D">
      <w:pPr>
        <w:keepLines/>
        <w:jc w:val="both"/>
        <w:rPr>
          <w:rFonts w:ascii="Arial" w:hAnsi="Arial" w:cs="Arial"/>
          <w:sz w:val="22"/>
          <w:szCs w:val="22"/>
        </w:rPr>
      </w:pPr>
    </w:p>
    <w:p w:rsidR="00355D0D" w:rsidRPr="008735E6" w:rsidRDefault="00355D0D" w:rsidP="00355D0D">
      <w:pPr>
        <w:keepLines/>
        <w:numPr>
          <w:ilvl w:val="0"/>
          <w:numId w:val="15"/>
        </w:numPr>
        <w:ind w:left="357" w:hanging="357"/>
        <w:jc w:val="both"/>
        <w:rPr>
          <w:rFonts w:ascii="Arial" w:hAnsi="Arial" w:cs="Arial"/>
          <w:sz w:val="22"/>
          <w:szCs w:val="22"/>
        </w:rPr>
      </w:pPr>
      <w:r w:rsidRPr="008735E6">
        <w:rPr>
          <w:rFonts w:ascii="Arial" w:hAnsi="Arial" w:cs="Arial"/>
          <w:sz w:val="22"/>
          <w:szCs w:val="22"/>
        </w:rPr>
        <w:t xml:space="preserve">Under the current decentralised management model, house owning departments are primarily responsible for the provision of housing for their employees, including procurement and maintenance programs and tenancy management.  Non house owning and minor house owning departments rely on the Department of Public Works to accommodate their employee housing requirements.  The Department of Public Works also supplements the housing needs of house owning departments if spare housing is available. </w:t>
      </w:r>
    </w:p>
    <w:p w:rsidR="00CF2B46" w:rsidRPr="008735E6" w:rsidRDefault="00CF2B46" w:rsidP="00CF2B46">
      <w:pPr>
        <w:keepLines/>
        <w:jc w:val="both"/>
        <w:rPr>
          <w:rFonts w:ascii="Arial" w:hAnsi="Arial" w:cs="Arial"/>
          <w:sz w:val="22"/>
          <w:szCs w:val="22"/>
        </w:rPr>
      </w:pPr>
    </w:p>
    <w:p w:rsidR="009604D4" w:rsidRPr="008735E6" w:rsidRDefault="00BC2491" w:rsidP="00BC2491">
      <w:pPr>
        <w:keepLines/>
        <w:numPr>
          <w:ilvl w:val="0"/>
          <w:numId w:val="15"/>
        </w:numPr>
        <w:ind w:left="357" w:hanging="357"/>
        <w:jc w:val="both"/>
        <w:rPr>
          <w:rFonts w:ascii="Arial" w:hAnsi="Arial" w:cs="Arial"/>
          <w:sz w:val="22"/>
          <w:szCs w:val="22"/>
        </w:rPr>
      </w:pPr>
      <w:r w:rsidRPr="008735E6">
        <w:rPr>
          <w:rFonts w:ascii="Arial" w:hAnsi="Arial" w:cs="Arial"/>
          <w:sz w:val="22"/>
          <w:szCs w:val="22"/>
        </w:rPr>
        <w:t xml:space="preserve">In order to provide a more coordinated and value for money approach to the strategic management of government employee housing, the Department of Public Works has developed a new framework, the </w:t>
      </w:r>
      <w:r w:rsidR="009604D4" w:rsidRPr="008735E6">
        <w:rPr>
          <w:rFonts w:ascii="Arial" w:hAnsi="Arial" w:cs="Arial"/>
          <w:sz w:val="22"/>
          <w:szCs w:val="22"/>
        </w:rPr>
        <w:t>Government Employee Housing Management Framework</w:t>
      </w:r>
      <w:r w:rsidR="00543EF9" w:rsidRPr="008735E6">
        <w:rPr>
          <w:rFonts w:ascii="Arial" w:hAnsi="Arial" w:cs="Arial"/>
          <w:sz w:val="22"/>
          <w:szCs w:val="22"/>
        </w:rPr>
        <w:t>,</w:t>
      </w:r>
      <w:r w:rsidRPr="008735E6">
        <w:rPr>
          <w:rFonts w:ascii="Arial" w:hAnsi="Arial" w:cs="Arial"/>
          <w:sz w:val="22"/>
          <w:szCs w:val="22"/>
        </w:rPr>
        <w:t xml:space="preserve"> </w:t>
      </w:r>
      <w:r w:rsidR="00543EF9" w:rsidRPr="008735E6">
        <w:rPr>
          <w:rFonts w:ascii="Arial" w:hAnsi="Arial" w:cs="Arial"/>
          <w:sz w:val="22"/>
          <w:szCs w:val="22"/>
        </w:rPr>
        <w:t xml:space="preserve">which </w:t>
      </w:r>
      <w:r w:rsidR="009604D4" w:rsidRPr="008735E6">
        <w:rPr>
          <w:rFonts w:ascii="Arial" w:hAnsi="Arial" w:cs="Arial"/>
          <w:sz w:val="22"/>
          <w:szCs w:val="22"/>
        </w:rPr>
        <w:t xml:space="preserve">provides house owning departments with policy guidance for the strategic planning, investment and maintenance of government employee housing.  </w:t>
      </w:r>
    </w:p>
    <w:p w:rsidR="009604D4" w:rsidRPr="008735E6" w:rsidRDefault="009604D4" w:rsidP="009604D4">
      <w:pPr>
        <w:keepLines/>
        <w:jc w:val="both"/>
        <w:rPr>
          <w:rFonts w:ascii="Arial" w:hAnsi="Arial" w:cs="Arial"/>
          <w:sz w:val="22"/>
          <w:szCs w:val="22"/>
        </w:rPr>
      </w:pPr>
    </w:p>
    <w:p w:rsidR="009604D4" w:rsidRPr="008735E6" w:rsidRDefault="009604D4" w:rsidP="009604D4">
      <w:pPr>
        <w:keepLines/>
        <w:numPr>
          <w:ilvl w:val="0"/>
          <w:numId w:val="15"/>
        </w:numPr>
        <w:ind w:left="357" w:hanging="357"/>
        <w:jc w:val="both"/>
        <w:rPr>
          <w:rFonts w:ascii="Arial" w:hAnsi="Arial" w:cs="Arial"/>
          <w:sz w:val="22"/>
          <w:szCs w:val="22"/>
        </w:rPr>
      </w:pPr>
      <w:r w:rsidRPr="008735E6">
        <w:rPr>
          <w:rFonts w:ascii="Arial" w:hAnsi="Arial" w:cs="Arial"/>
          <w:sz w:val="22"/>
          <w:szCs w:val="22"/>
        </w:rPr>
        <w:t xml:space="preserve">The Framework also includes the provision of a state-wide minimum security and safety standard for all government employee housing to ensure consistency across all Government departments and more importantly an adequate standard of security and safety for all employees and their families.  </w:t>
      </w:r>
    </w:p>
    <w:p w:rsidR="009604D4" w:rsidRPr="008735E6" w:rsidRDefault="009604D4" w:rsidP="009604D4">
      <w:pPr>
        <w:keepLines/>
        <w:jc w:val="both"/>
        <w:rPr>
          <w:rFonts w:ascii="Arial" w:hAnsi="Arial" w:cs="Arial"/>
          <w:sz w:val="22"/>
          <w:szCs w:val="22"/>
        </w:rPr>
      </w:pPr>
    </w:p>
    <w:p w:rsidR="009604D4" w:rsidRPr="008735E6" w:rsidRDefault="009604D4" w:rsidP="00543EF9">
      <w:pPr>
        <w:keepLines/>
        <w:numPr>
          <w:ilvl w:val="0"/>
          <w:numId w:val="15"/>
        </w:numPr>
        <w:ind w:left="357" w:hanging="357"/>
        <w:jc w:val="both"/>
        <w:rPr>
          <w:rFonts w:ascii="Arial" w:hAnsi="Arial" w:cs="Arial"/>
          <w:sz w:val="22"/>
          <w:szCs w:val="22"/>
        </w:rPr>
      </w:pPr>
      <w:r w:rsidRPr="008735E6">
        <w:rPr>
          <w:rFonts w:ascii="Arial" w:hAnsi="Arial" w:cs="Arial"/>
          <w:sz w:val="22"/>
          <w:szCs w:val="22"/>
        </w:rPr>
        <w:t>The key objectives of the Framework are to ensure that:</w:t>
      </w:r>
    </w:p>
    <w:p w:rsidR="009604D4" w:rsidRPr="008735E6" w:rsidRDefault="009604D4" w:rsidP="009604D4">
      <w:pPr>
        <w:keepLines/>
        <w:numPr>
          <w:ilvl w:val="0"/>
          <w:numId w:val="16"/>
        </w:numPr>
        <w:tabs>
          <w:tab w:val="left" w:pos="720"/>
        </w:tabs>
        <w:jc w:val="both"/>
        <w:rPr>
          <w:rFonts w:ascii="Arial" w:hAnsi="Arial" w:cs="Arial"/>
          <w:sz w:val="22"/>
          <w:szCs w:val="22"/>
        </w:rPr>
      </w:pPr>
      <w:r w:rsidRPr="008735E6">
        <w:rPr>
          <w:rFonts w:ascii="Arial" w:hAnsi="Arial" w:cs="Arial"/>
          <w:sz w:val="22"/>
          <w:szCs w:val="22"/>
        </w:rPr>
        <w:t>a supporting mechanism is in place for continuous improvement in the strategic planning/investment decisions, procurement, management, maintenance and disposal of government employee housing</w:t>
      </w:r>
    </w:p>
    <w:p w:rsidR="009604D4" w:rsidRPr="008735E6" w:rsidRDefault="009604D4" w:rsidP="009604D4">
      <w:pPr>
        <w:keepLines/>
        <w:numPr>
          <w:ilvl w:val="0"/>
          <w:numId w:val="16"/>
        </w:numPr>
        <w:tabs>
          <w:tab w:val="left" w:pos="720"/>
        </w:tabs>
        <w:jc w:val="both"/>
        <w:rPr>
          <w:rFonts w:ascii="Arial" w:hAnsi="Arial" w:cs="Arial"/>
          <w:sz w:val="22"/>
          <w:szCs w:val="22"/>
        </w:rPr>
      </w:pPr>
      <w:r w:rsidRPr="008735E6">
        <w:rPr>
          <w:rFonts w:ascii="Arial" w:hAnsi="Arial" w:cs="Arial"/>
          <w:sz w:val="22"/>
          <w:szCs w:val="22"/>
        </w:rPr>
        <w:t>government employee housing residences are adequately maintained</w:t>
      </w:r>
    </w:p>
    <w:p w:rsidR="009604D4" w:rsidRPr="008735E6" w:rsidRDefault="009604D4" w:rsidP="009604D4">
      <w:pPr>
        <w:keepLines/>
        <w:numPr>
          <w:ilvl w:val="0"/>
          <w:numId w:val="16"/>
        </w:numPr>
        <w:tabs>
          <w:tab w:val="left" w:pos="720"/>
        </w:tabs>
        <w:jc w:val="both"/>
        <w:rPr>
          <w:rFonts w:ascii="Arial" w:hAnsi="Arial" w:cs="Arial"/>
          <w:sz w:val="22"/>
          <w:szCs w:val="22"/>
        </w:rPr>
      </w:pPr>
      <w:r w:rsidRPr="008735E6">
        <w:rPr>
          <w:rFonts w:ascii="Arial" w:hAnsi="Arial" w:cs="Arial"/>
          <w:sz w:val="22"/>
          <w:szCs w:val="22"/>
        </w:rPr>
        <w:t>security and amenity for government employees, as tenants of government employee housing, are to an acceptable standard</w:t>
      </w:r>
    </w:p>
    <w:p w:rsidR="009604D4" w:rsidRPr="008735E6" w:rsidRDefault="009604D4" w:rsidP="009604D4">
      <w:pPr>
        <w:keepLines/>
        <w:numPr>
          <w:ilvl w:val="0"/>
          <w:numId w:val="16"/>
        </w:numPr>
        <w:tabs>
          <w:tab w:val="left" w:pos="720"/>
        </w:tabs>
        <w:jc w:val="both"/>
        <w:rPr>
          <w:rFonts w:ascii="Arial" w:hAnsi="Arial" w:cs="Arial"/>
          <w:sz w:val="22"/>
          <w:szCs w:val="22"/>
        </w:rPr>
      </w:pPr>
      <w:r w:rsidRPr="008735E6">
        <w:rPr>
          <w:rFonts w:ascii="Arial" w:hAnsi="Arial" w:cs="Arial"/>
          <w:sz w:val="22"/>
          <w:szCs w:val="22"/>
        </w:rPr>
        <w:t>the risks to the Government are well managed</w:t>
      </w:r>
    </w:p>
    <w:p w:rsidR="009604D4" w:rsidRPr="008735E6" w:rsidRDefault="009604D4" w:rsidP="009604D4">
      <w:pPr>
        <w:keepLines/>
        <w:numPr>
          <w:ilvl w:val="0"/>
          <w:numId w:val="16"/>
        </w:numPr>
        <w:tabs>
          <w:tab w:val="left" w:pos="720"/>
        </w:tabs>
        <w:jc w:val="both"/>
        <w:rPr>
          <w:rFonts w:ascii="Arial" w:hAnsi="Arial" w:cs="Arial"/>
          <w:sz w:val="22"/>
          <w:szCs w:val="22"/>
        </w:rPr>
      </w:pPr>
      <w:r w:rsidRPr="008735E6">
        <w:rPr>
          <w:rFonts w:ascii="Arial" w:hAnsi="Arial" w:cs="Arial"/>
          <w:sz w:val="22"/>
          <w:szCs w:val="22"/>
        </w:rPr>
        <w:t>departments take a more strategic role in the management of government employee housing</w:t>
      </w:r>
    </w:p>
    <w:p w:rsidR="009604D4" w:rsidRPr="008735E6" w:rsidRDefault="009604D4" w:rsidP="009604D4">
      <w:pPr>
        <w:keepLines/>
        <w:numPr>
          <w:ilvl w:val="0"/>
          <w:numId w:val="16"/>
        </w:numPr>
        <w:tabs>
          <w:tab w:val="left" w:pos="720"/>
        </w:tabs>
        <w:jc w:val="both"/>
        <w:rPr>
          <w:rFonts w:ascii="Arial" w:hAnsi="Arial" w:cs="Arial"/>
          <w:sz w:val="22"/>
          <w:szCs w:val="22"/>
        </w:rPr>
      </w:pPr>
      <w:r w:rsidRPr="008735E6">
        <w:rPr>
          <w:rFonts w:ascii="Arial" w:hAnsi="Arial" w:cs="Arial"/>
          <w:sz w:val="22"/>
          <w:szCs w:val="22"/>
        </w:rPr>
        <w:t>timely and relevant information for monitoring procurement, maintenance, use and demand for government employee housing is available to Government</w:t>
      </w:r>
    </w:p>
    <w:p w:rsidR="00CF2B46" w:rsidRPr="008735E6" w:rsidRDefault="009604D4" w:rsidP="005D6CD9">
      <w:pPr>
        <w:keepLines/>
        <w:numPr>
          <w:ilvl w:val="0"/>
          <w:numId w:val="16"/>
        </w:numPr>
        <w:tabs>
          <w:tab w:val="left" w:pos="720"/>
        </w:tabs>
        <w:jc w:val="both"/>
        <w:rPr>
          <w:rFonts w:ascii="Arial" w:hAnsi="Arial" w:cs="Arial"/>
          <w:sz w:val="22"/>
          <w:szCs w:val="22"/>
        </w:rPr>
      </w:pPr>
      <w:r w:rsidRPr="008735E6">
        <w:rPr>
          <w:rFonts w:ascii="Arial" w:hAnsi="Arial" w:cs="Arial"/>
          <w:sz w:val="22"/>
          <w:szCs w:val="22"/>
        </w:rPr>
        <w:t xml:space="preserve">consistency and transparency are evident in the management of government employee housing across government. </w:t>
      </w:r>
    </w:p>
    <w:p w:rsidR="00C07656" w:rsidRPr="008735E6" w:rsidRDefault="00CE6FBA" w:rsidP="008735E6">
      <w:pPr>
        <w:numPr>
          <w:ilvl w:val="0"/>
          <w:numId w:val="20"/>
        </w:numPr>
        <w:spacing w:before="240"/>
        <w:jc w:val="both"/>
        <w:rPr>
          <w:rFonts w:ascii="Arial" w:hAnsi="Arial" w:cs="Arial"/>
          <w:sz w:val="22"/>
          <w:szCs w:val="22"/>
        </w:rPr>
      </w:pPr>
      <w:r w:rsidRPr="008735E6">
        <w:rPr>
          <w:rFonts w:ascii="Arial" w:hAnsi="Arial" w:cs="Arial"/>
          <w:sz w:val="22"/>
          <w:szCs w:val="22"/>
          <w:u w:val="single"/>
        </w:rPr>
        <w:t>Cabinet approved</w:t>
      </w:r>
      <w:r w:rsidR="00907394" w:rsidRPr="008735E6">
        <w:rPr>
          <w:rFonts w:ascii="Arial" w:hAnsi="Arial" w:cs="Arial"/>
          <w:sz w:val="22"/>
          <w:szCs w:val="22"/>
          <w:u w:val="single"/>
        </w:rPr>
        <w:t>:</w:t>
      </w:r>
    </w:p>
    <w:p w:rsidR="0084623E" w:rsidRPr="008735E6" w:rsidRDefault="0084623E" w:rsidP="0084623E">
      <w:pPr>
        <w:keepLines/>
        <w:numPr>
          <w:ilvl w:val="0"/>
          <w:numId w:val="14"/>
        </w:numPr>
        <w:jc w:val="both"/>
        <w:rPr>
          <w:rFonts w:ascii="Arial" w:hAnsi="Arial" w:cs="Arial"/>
          <w:sz w:val="22"/>
          <w:szCs w:val="22"/>
        </w:rPr>
      </w:pPr>
      <w:r w:rsidRPr="008735E6">
        <w:rPr>
          <w:rFonts w:ascii="Arial" w:hAnsi="Arial" w:cs="Arial"/>
          <w:sz w:val="22"/>
          <w:szCs w:val="22"/>
        </w:rPr>
        <w:t>the centralisation and coordination of maintenance and capital works delivery by the Department of Public Works for all government employee housing (the centralisation of capital works and minor works relates only to Indigenous communities).</w:t>
      </w:r>
    </w:p>
    <w:p w:rsidR="0084623E" w:rsidRPr="008735E6" w:rsidRDefault="0084623E" w:rsidP="00907394">
      <w:pPr>
        <w:keepLines/>
        <w:numPr>
          <w:ilvl w:val="0"/>
          <w:numId w:val="14"/>
        </w:numPr>
        <w:jc w:val="both"/>
        <w:rPr>
          <w:rFonts w:ascii="Arial" w:hAnsi="Arial" w:cs="Arial"/>
          <w:b/>
          <w:sz w:val="22"/>
          <w:szCs w:val="22"/>
          <w:u w:val="single"/>
        </w:rPr>
      </w:pPr>
      <w:r w:rsidRPr="008735E6">
        <w:rPr>
          <w:rFonts w:ascii="Arial" w:hAnsi="Arial" w:cs="Arial"/>
          <w:sz w:val="22"/>
          <w:szCs w:val="22"/>
        </w:rPr>
        <w:t xml:space="preserve">the Government Employee Housing Management Framework for adoption by all house owning departments. </w:t>
      </w:r>
    </w:p>
    <w:p w:rsidR="00EA00BF" w:rsidRPr="008735E6" w:rsidRDefault="00EA00BF" w:rsidP="00EA00BF">
      <w:pPr>
        <w:jc w:val="both"/>
        <w:rPr>
          <w:rFonts w:ascii="Arial" w:hAnsi="Arial" w:cs="Arial"/>
          <w:sz w:val="22"/>
          <w:szCs w:val="22"/>
        </w:rPr>
      </w:pPr>
    </w:p>
    <w:p w:rsidR="00EA00BF" w:rsidRPr="00B47C2E" w:rsidRDefault="00EA00BF" w:rsidP="00803BA1">
      <w:pPr>
        <w:keepNext/>
        <w:numPr>
          <w:ilvl w:val="0"/>
          <w:numId w:val="20"/>
        </w:numPr>
        <w:spacing w:before="120"/>
        <w:jc w:val="both"/>
        <w:rPr>
          <w:rFonts w:ascii="Arial" w:hAnsi="Arial" w:cs="Arial"/>
          <w:sz w:val="22"/>
          <w:szCs w:val="22"/>
        </w:rPr>
      </w:pPr>
      <w:r w:rsidRPr="008735E6">
        <w:rPr>
          <w:rFonts w:ascii="Arial" w:hAnsi="Arial" w:cs="Arial"/>
          <w:i/>
          <w:sz w:val="22"/>
          <w:szCs w:val="22"/>
          <w:u w:val="single"/>
        </w:rPr>
        <w:t>Attachment</w:t>
      </w:r>
      <w:r w:rsidR="008735E6">
        <w:rPr>
          <w:rFonts w:ascii="Arial" w:hAnsi="Arial" w:cs="Arial"/>
          <w:i/>
          <w:sz w:val="22"/>
          <w:szCs w:val="22"/>
          <w:u w:val="single"/>
        </w:rPr>
        <w:t>:</w:t>
      </w:r>
    </w:p>
    <w:p w:rsidR="000B545C" w:rsidRPr="008735E6" w:rsidRDefault="00874178" w:rsidP="00803BA1">
      <w:pPr>
        <w:numPr>
          <w:ilvl w:val="0"/>
          <w:numId w:val="12"/>
        </w:numPr>
        <w:spacing w:before="120"/>
        <w:rPr>
          <w:rFonts w:ascii="Arial" w:hAnsi="Arial" w:cs="Arial"/>
          <w:sz w:val="22"/>
          <w:szCs w:val="22"/>
        </w:rPr>
      </w:pPr>
      <w:hyperlink r:id="rId7" w:history="1">
        <w:r w:rsidR="0084623E" w:rsidRPr="000C06C0">
          <w:rPr>
            <w:rStyle w:val="Hyperlink"/>
            <w:rFonts w:ascii="Arial" w:hAnsi="Arial" w:cs="Arial"/>
            <w:sz w:val="22"/>
            <w:szCs w:val="22"/>
          </w:rPr>
          <w:t xml:space="preserve">Government Employee </w:t>
        </w:r>
        <w:r w:rsidR="00683394" w:rsidRPr="000C06C0">
          <w:rPr>
            <w:rStyle w:val="Hyperlink"/>
            <w:rFonts w:ascii="Arial" w:hAnsi="Arial" w:cs="Arial"/>
            <w:sz w:val="22"/>
            <w:szCs w:val="22"/>
          </w:rPr>
          <w:t xml:space="preserve">Housing </w:t>
        </w:r>
        <w:r w:rsidR="0084623E" w:rsidRPr="000C06C0">
          <w:rPr>
            <w:rStyle w:val="Hyperlink"/>
            <w:rFonts w:ascii="Arial" w:hAnsi="Arial" w:cs="Arial"/>
            <w:sz w:val="22"/>
            <w:szCs w:val="22"/>
          </w:rPr>
          <w:t>Management Framework</w:t>
        </w:r>
      </w:hyperlink>
    </w:p>
    <w:sectPr w:rsidR="000B545C" w:rsidRPr="008735E6" w:rsidSect="007D3B9D">
      <w:headerReference w:type="default" r:id="rId8"/>
      <w:footerReference w:type="default" r:id="rId9"/>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59B" w:rsidRDefault="0029459B">
      <w:r>
        <w:separator/>
      </w:r>
    </w:p>
  </w:endnote>
  <w:endnote w:type="continuationSeparator" w:id="0">
    <w:p w:rsidR="0029459B" w:rsidRDefault="0029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23E" w:rsidRPr="001141E1" w:rsidRDefault="0084623E"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59B" w:rsidRDefault="0029459B">
      <w:r>
        <w:separator/>
      </w:r>
    </w:p>
  </w:footnote>
  <w:footnote w:type="continuationSeparator" w:id="0">
    <w:p w:rsidR="0029459B" w:rsidRDefault="00294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23E" w:rsidRPr="00F75C06" w:rsidRDefault="003F350A" w:rsidP="007D3B9D">
    <w:pPr>
      <w:pStyle w:val="Header"/>
      <w:ind w:firstLine="2880"/>
      <w:rPr>
        <w:rFonts w:ascii="Arial" w:hAnsi="Arial" w:cs="Arial"/>
        <w:b/>
        <w:sz w:val="22"/>
        <w:szCs w:val="22"/>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84623E" w:rsidRPr="000400F9">
      <w:rPr>
        <w:rFonts w:ascii="Arial" w:hAnsi="Arial" w:cs="Arial"/>
        <w:b/>
        <w:sz w:val="22"/>
        <w:szCs w:val="22"/>
        <w:u w:val="single"/>
      </w:rPr>
      <w:t xml:space="preserve">Cabinet – </w:t>
    </w:r>
    <w:r w:rsidR="0062355F">
      <w:rPr>
        <w:rFonts w:ascii="Arial" w:hAnsi="Arial" w:cs="Arial"/>
        <w:b/>
        <w:sz w:val="22"/>
        <w:szCs w:val="22"/>
        <w:u w:val="single"/>
      </w:rPr>
      <w:t>October 2009</w:t>
    </w:r>
  </w:p>
  <w:p w:rsidR="0084623E" w:rsidRDefault="00355D0D" w:rsidP="000400F9">
    <w:pPr>
      <w:pStyle w:val="Header"/>
      <w:spacing w:before="120"/>
      <w:rPr>
        <w:rFonts w:ascii="Arial" w:hAnsi="Arial" w:cs="Arial"/>
        <w:b/>
        <w:sz w:val="22"/>
        <w:szCs w:val="22"/>
        <w:u w:val="single"/>
      </w:rPr>
    </w:pPr>
    <w:r>
      <w:rPr>
        <w:rFonts w:ascii="Arial" w:hAnsi="Arial" w:cs="Arial"/>
        <w:b/>
        <w:sz w:val="22"/>
        <w:szCs w:val="22"/>
        <w:u w:val="single"/>
      </w:rPr>
      <w:t>New Arrangements for Asset Management of Government Employee Housing</w:t>
    </w:r>
  </w:p>
  <w:p w:rsidR="0084623E" w:rsidRDefault="0062355F" w:rsidP="00803BA1">
    <w:pPr>
      <w:pStyle w:val="Header"/>
      <w:spacing w:before="120"/>
      <w:rPr>
        <w:rFonts w:ascii="Arial" w:hAnsi="Arial" w:cs="Arial"/>
        <w:b/>
        <w:sz w:val="22"/>
        <w:szCs w:val="22"/>
        <w:u w:val="single"/>
      </w:rPr>
    </w:pPr>
    <w:r>
      <w:rPr>
        <w:rFonts w:ascii="Arial" w:hAnsi="Arial" w:cs="Arial"/>
        <w:b/>
        <w:sz w:val="22"/>
        <w:szCs w:val="22"/>
        <w:u w:val="single"/>
      </w:rPr>
      <w:t>Minister for Public Works and Information and Communication Technology</w:t>
    </w:r>
  </w:p>
  <w:p w:rsidR="0084623E" w:rsidRPr="000400F9" w:rsidRDefault="0084623E" w:rsidP="00803BA1">
    <w:pPr>
      <w:pStyle w:val="Header"/>
      <w:pBdr>
        <w:bottom w:val="single" w:sz="8" w:space="1" w:color="auto"/>
      </w:pBdr>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010B0"/>
    <w:multiLevelType w:val="hybridMultilevel"/>
    <w:tmpl w:val="BAE436B4"/>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2AC6A0B"/>
    <w:multiLevelType w:val="hybridMultilevel"/>
    <w:tmpl w:val="08B20B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0905405"/>
    <w:multiLevelType w:val="hybridMultilevel"/>
    <w:tmpl w:val="102CAEB0"/>
    <w:lvl w:ilvl="0" w:tplc="8AC41E54">
      <w:start w:val="1"/>
      <w:numFmt w:val="bullet"/>
      <w:lvlText w:val=""/>
      <w:lvlJc w:val="left"/>
      <w:pPr>
        <w:tabs>
          <w:tab w:val="num" w:pos="720"/>
        </w:tabs>
        <w:ind w:left="720" w:hanging="360"/>
      </w:pPr>
      <w:rPr>
        <w:rFonts w:ascii="Symbol" w:hAnsi="Symbol" w:hint="default"/>
        <w:color w:val="003366"/>
        <w:sz w:val="16"/>
        <w:szCs w:val="16"/>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491FC7"/>
    <w:multiLevelType w:val="hybridMultilevel"/>
    <w:tmpl w:val="24FC2032"/>
    <w:lvl w:ilvl="0" w:tplc="DD9C2304">
      <w:start w:val="6"/>
      <w:numFmt w:val="decimal"/>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5A8A38E3"/>
    <w:multiLevelType w:val="hybridMultilevel"/>
    <w:tmpl w:val="2306294C"/>
    <w:lvl w:ilvl="0" w:tplc="FFFFFFFF">
      <w:start w:val="1"/>
      <w:numFmt w:val="decimal"/>
      <w:lvlText w:val="%1."/>
      <w:lvlJc w:val="left"/>
      <w:pPr>
        <w:tabs>
          <w:tab w:val="num" w:pos="720"/>
        </w:tabs>
        <w:ind w:left="72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675B59F6"/>
    <w:multiLevelType w:val="multilevel"/>
    <w:tmpl w:val="4C3ADD48"/>
    <w:lvl w:ilvl="0">
      <w:start w:val="1"/>
      <w:numFmt w:val="decimal"/>
      <w:lvlText w:val="%1."/>
      <w:lvlJc w:val="left"/>
      <w:pPr>
        <w:tabs>
          <w:tab w:val="num" w:pos="360"/>
        </w:tabs>
        <w:ind w:left="360" w:hanging="360"/>
      </w:pPr>
      <w:rPr>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6EB867AB"/>
    <w:multiLevelType w:val="multilevel"/>
    <w:tmpl w:val="2306294C"/>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70FC4A1A"/>
    <w:multiLevelType w:val="multilevel"/>
    <w:tmpl w:val="2396ACA6"/>
    <w:lvl w:ilvl="0">
      <w:start w:val="1"/>
      <w:numFmt w:val="decimal"/>
      <w:lvlText w:val="%1."/>
      <w:lvlJc w:val="left"/>
      <w:pPr>
        <w:tabs>
          <w:tab w:val="num" w:pos="720"/>
        </w:tabs>
        <w:ind w:left="720" w:hanging="360"/>
      </w:pPr>
    </w:lvl>
    <w:lvl w:ilvl="1">
      <w:start w:val="1"/>
      <w:numFmt w:val="decimal"/>
      <w:lvlText w:val="%2."/>
      <w:lvlJc w:val="left"/>
      <w:pPr>
        <w:tabs>
          <w:tab w:val="num" w:pos="1443"/>
        </w:tabs>
        <w:ind w:left="1443"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5BE4382"/>
    <w:multiLevelType w:val="hybridMultilevel"/>
    <w:tmpl w:val="4C3ADD48"/>
    <w:lvl w:ilvl="0" w:tplc="8F24E73A">
      <w:start w:val="1"/>
      <w:numFmt w:val="decimal"/>
      <w:lvlText w:val="%1."/>
      <w:lvlJc w:val="left"/>
      <w:pPr>
        <w:tabs>
          <w:tab w:val="num" w:pos="360"/>
        </w:tabs>
        <w:ind w:left="360" w:hanging="360"/>
      </w:pPr>
      <w:rPr>
        <w:i w:val="0"/>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7F274991"/>
    <w:multiLevelType w:val="hybridMultilevel"/>
    <w:tmpl w:val="210E74C8"/>
    <w:lvl w:ilvl="0" w:tplc="A6E66AC4">
      <w:start w:val="1"/>
      <w:numFmt w:val="decimal"/>
      <w:lvlText w:val="%1."/>
      <w:lvlJc w:val="left"/>
      <w:pPr>
        <w:tabs>
          <w:tab w:val="num" w:pos="360"/>
        </w:tabs>
        <w:ind w:left="360" w:hanging="360"/>
      </w:pPr>
      <w:rPr>
        <w:b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17"/>
  </w:num>
  <w:num w:numId="4">
    <w:abstractNumId w:val="5"/>
  </w:num>
  <w:num w:numId="5">
    <w:abstractNumId w:val="3"/>
  </w:num>
  <w:num w:numId="6">
    <w:abstractNumId w:val="19"/>
  </w:num>
  <w:num w:numId="7">
    <w:abstractNumId w:val="18"/>
  </w:num>
  <w:num w:numId="8">
    <w:abstractNumId w:val="16"/>
  </w:num>
  <w:num w:numId="9">
    <w:abstractNumId w:val="14"/>
  </w:num>
  <w:num w:numId="10">
    <w:abstractNumId w:val="7"/>
  </w:num>
  <w:num w:numId="11">
    <w:abstractNumId w:val="6"/>
  </w:num>
  <w:num w:numId="12">
    <w:abstractNumId w:val="2"/>
  </w:num>
  <w:num w:numId="13">
    <w:abstractNumId w:val="20"/>
  </w:num>
  <w:num w:numId="14">
    <w:abstractNumId w:val="0"/>
  </w:num>
  <w:num w:numId="15">
    <w:abstractNumId w:val="15"/>
  </w:num>
  <w:num w:numId="16">
    <w:abstractNumId w:val="4"/>
  </w:num>
  <w:num w:numId="17">
    <w:abstractNumId w:val="10"/>
  </w:num>
  <w:num w:numId="18">
    <w:abstractNumId w:val="11"/>
  </w:num>
  <w:num w:numId="19">
    <w:abstractNumId w:val="12"/>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B8A"/>
    <w:rsid w:val="00021B34"/>
    <w:rsid w:val="00036FD8"/>
    <w:rsid w:val="000400F9"/>
    <w:rsid w:val="000B545C"/>
    <w:rsid w:val="000C06C0"/>
    <w:rsid w:val="001141E1"/>
    <w:rsid w:val="00133013"/>
    <w:rsid w:val="00133A34"/>
    <w:rsid w:val="00143FDF"/>
    <w:rsid w:val="00160524"/>
    <w:rsid w:val="00254E35"/>
    <w:rsid w:val="00266D9B"/>
    <w:rsid w:val="0028053C"/>
    <w:rsid w:val="0029459B"/>
    <w:rsid w:val="002F57E4"/>
    <w:rsid w:val="00314FEB"/>
    <w:rsid w:val="0032048B"/>
    <w:rsid w:val="003440FF"/>
    <w:rsid w:val="00346156"/>
    <w:rsid w:val="00355D0D"/>
    <w:rsid w:val="00382380"/>
    <w:rsid w:val="003A269C"/>
    <w:rsid w:val="003A2CDD"/>
    <w:rsid w:val="003A2E0F"/>
    <w:rsid w:val="003C3732"/>
    <w:rsid w:val="003F350A"/>
    <w:rsid w:val="00435BE5"/>
    <w:rsid w:val="0048019C"/>
    <w:rsid w:val="00486A99"/>
    <w:rsid w:val="004C5B96"/>
    <w:rsid w:val="004E6C38"/>
    <w:rsid w:val="004F7B8A"/>
    <w:rsid w:val="005061A6"/>
    <w:rsid w:val="00543EF9"/>
    <w:rsid w:val="0056401D"/>
    <w:rsid w:val="005752AB"/>
    <w:rsid w:val="005B1D9B"/>
    <w:rsid w:val="005D6CD9"/>
    <w:rsid w:val="006100CC"/>
    <w:rsid w:val="0062355F"/>
    <w:rsid w:val="00644076"/>
    <w:rsid w:val="006631CF"/>
    <w:rsid w:val="00682036"/>
    <w:rsid w:val="00683394"/>
    <w:rsid w:val="006A37A1"/>
    <w:rsid w:val="006B3B54"/>
    <w:rsid w:val="006D0869"/>
    <w:rsid w:val="006E6713"/>
    <w:rsid w:val="007060D7"/>
    <w:rsid w:val="00726F36"/>
    <w:rsid w:val="007A25F4"/>
    <w:rsid w:val="007A6599"/>
    <w:rsid w:val="007D3B9D"/>
    <w:rsid w:val="007F52D6"/>
    <w:rsid w:val="00803BA1"/>
    <w:rsid w:val="0082040E"/>
    <w:rsid w:val="008319B3"/>
    <w:rsid w:val="00845D3E"/>
    <w:rsid w:val="0084623E"/>
    <w:rsid w:val="008735E6"/>
    <w:rsid w:val="00874178"/>
    <w:rsid w:val="008824FF"/>
    <w:rsid w:val="008A5F1B"/>
    <w:rsid w:val="008B7E17"/>
    <w:rsid w:val="008F44CD"/>
    <w:rsid w:val="00907394"/>
    <w:rsid w:val="00922A5B"/>
    <w:rsid w:val="00956A9C"/>
    <w:rsid w:val="009604D4"/>
    <w:rsid w:val="009D0C12"/>
    <w:rsid w:val="009F5476"/>
    <w:rsid w:val="00A20C0E"/>
    <w:rsid w:val="00A24DFD"/>
    <w:rsid w:val="00A30F55"/>
    <w:rsid w:val="00AA128C"/>
    <w:rsid w:val="00AB6637"/>
    <w:rsid w:val="00AE1995"/>
    <w:rsid w:val="00B40BDF"/>
    <w:rsid w:val="00B47C2E"/>
    <w:rsid w:val="00BC2491"/>
    <w:rsid w:val="00C07656"/>
    <w:rsid w:val="00C67B51"/>
    <w:rsid w:val="00C805EC"/>
    <w:rsid w:val="00C85B71"/>
    <w:rsid w:val="00C8640A"/>
    <w:rsid w:val="00CE6FBA"/>
    <w:rsid w:val="00CF2B46"/>
    <w:rsid w:val="00D16F9E"/>
    <w:rsid w:val="00D525D5"/>
    <w:rsid w:val="00D54601"/>
    <w:rsid w:val="00DD3CD5"/>
    <w:rsid w:val="00DD497C"/>
    <w:rsid w:val="00DF4650"/>
    <w:rsid w:val="00E463C2"/>
    <w:rsid w:val="00EA00BF"/>
    <w:rsid w:val="00F756F8"/>
    <w:rsid w:val="00F75C06"/>
    <w:rsid w:val="00FA62DA"/>
    <w:rsid w:val="00FB5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paragraph" w:customStyle="1" w:styleId="Char3CharCharCharCharCharChar">
    <w:name w:val="Char3 Char Char Char Char Char Char"/>
    <w:basedOn w:val="Normal"/>
    <w:rsid w:val="00355D0D"/>
    <w:pPr>
      <w:spacing w:after="160" w:line="240" w:lineRule="exact"/>
    </w:pPr>
    <w:rPr>
      <w:rFonts w:ascii="Verdana" w:hAnsi="Verdana"/>
      <w:sz w:val="20"/>
      <w:szCs w:val="20"/>
      <w:lang w:val="en-US" w:eastAsia="en-US"/>
    </w:rPr>
  </w:style>
  <w:style w:type="character" w:styleId="Hyperlink">
    <w:name w:val="Hyperlink"/>
    <w:basedOn w:val="DefaultParagraphFont"/>
    <w:rsid w:val="000C06C0"/>
    <w:rPr>
      <w:color w:val="0000FF"/>
      <w:u w:val="single"/>
    </w:rPr>
  </w:style>
  <w:style w:type="character" w:styleId="FollowedHyperlink">
    <w:name w:val="FollowedHyperlink"/>
    <w:basedOn w:val="DefaultParagraphFont"/>
    <w:rsid w:val="000C06C0"/>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Government%20Employee%20Housing%20Management%20Framework.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eena.mcconville\Local%20Settings\Temporary%20Internet%20Files\OLKAC\Decision%20Summary%20Template%20v0%204%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Decision Summary Template v0 4 (2).dot</Template>
  <TotalTime>0</TotalTime>
  <Pages>1</Pages>
  <Words>392</Words>
  <Characters>2441</Characters>
  <Application>Microsoft Office Word</Application>
  <DocSecurity>0</DocSecurity>
  <Lines>49</Lines>
  <Paragraphs>17</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2836</CharactersWithSpaces>
  <SharedDoc>false</SharedDoc>
  <HyperlinkBase>https://www.cabinet.qld.gov.au/documents/2009/Oct/Govt Employee Housing/</HyperlinkBase>
  <HLinks>
    <vt:vector size="6" baseType="variant">
      <vt:variant>
        <vt:i4>5111892</vt:i4>
      </vt:variant>
      <vt:variant>
        <vt:i4>0</vt:i4>
      </vt:variant>
      <vt:variant>
        <vt:i4>0</vt:i4>
      </vt:variant>
      <vt:variant>
        <vt:i4>5</vt:i4>
      </vt:variant>
      <vt:variant>
        <vt:lpwstr>Attachments/Government Employee Housing Management Framework.doc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Employment,Capital_Works,Infrastructure,Housing</cp:keywords>
  <dc:description/>
  <cp:lastModifiedBy/>
  <cp:revision>2</cp:revision>
  <cp:lastPrinted>2009-10-12T01:03:00Z</cp:lastPrinted>
  <dcterms:created xsi:type="dcterms:W3CDTF">2017-10-24T22:03:00Z</dcterms:created>
  <dcterms:modified xsi:type="dcterms:W3CDTF">2018-03-06T00:59:00Z</dcterms:modified>
  <cp:category>Employment,Capital_Works,Infrastructure</cp:category>
</cp:coreProperties>
</file>